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52"/>
          <w:szCs w:val="52"/>
        </w:rPr>
      </w:pPr>
      <w:r w:rsidDel="00000000" w:rsidR="00000000" w:rsidRPr="00000000">
        <w:rPr>
          <w:b w:val="1"/>
          <w:sz w:val="52"/>
          <w:szCs w:val="52"/>
          <w:rtl w:val="0"/>
        </w:rPr>
        <w:t xml:space="preserve">Director’s Cup Standings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52"/>
          <w:szCs w:val="52"/>
        </w:rPr>
      </w:pPr>
      <w:r w:rsidDel="00000000" w:rsidR="00000000" w:rsidRPr="00000000">
        <w:rPr>
          <w:b w:val="1"/>
          <w:sz w:val="52"/>
          <w:szCs w:val="52"/>
          <w:rtl w:val="0"/>
        </w:rPr>
        <w:t xml:space="preserve">2024</w:t>
      </w:r>
    </w:p>
    <w:tbl>
      <w:tblPr>
        <w:tblStyle w:val="Table1"/>
        <w:tblW w:w="7515.0" w:type="dxa"/>
        <w:jc w:val="center"/>
        <w:tblLayout w:type="fixed"/>
        <w:tblLook w:val="0400"/>
      </w:tblPr>
      <w:tblGrid>
        <w:gridCol w:w="1231"/>
        <w:gridCol w:w="5089"/>
        <w:gridCol w:w="1195"/>
        <w:tblGridChange w:id="0">
          <w:tblGrid>
            <w:gridCol w:w="1231"/>
            <w:gridCol w:w="5089"/>
            <w:gridCol w:w="119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32"/>
                <w:szCs w:val="32"/>
                <w:rtl w:val="0"/>
              </w:rPr>
              <w:t xml:space="preserve">Place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32"/>
                <w:szCs w:val="32"/>
                <w:rtl w:val="0"/>
              </w:rPr>
              <w:t xml:space="preserve">School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32"/>
                <w:szCs w:val="32"/>
                <w:rtl w:val="0"/>
              </w:rPr>
              <w:t xml:space="preserve">Total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Johnson &amp; Wales Charlotte</w:t>
            </w:r>
          </w:p>
        </w:tc>
        <w:tc>
          <w:tcPr>
            <w:tcBorders>
              <w:top w:color="000000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709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Lyon College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622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SUNY ESF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595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Carlow University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546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University of Maine Fort Kent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533.5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University of Cincinnati Clermont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512.5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Central Maine CC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443.5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Penn State Mont Alto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408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Penn State Dubois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387.5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Hampshire College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343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Penn State Brandywine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340.5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Bryant &amp; Stratton Syracuse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336.5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Paul Smith's College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336.5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NHTI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336.5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Christendom College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336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Penn State York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334.5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Penn State Fayette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328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Salem University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310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Apprentice School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300.5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after="0" w:line="276" w:lineRule="auto"/>
              <w:jc w:val="center"/>
              <w:rPr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Penn State Scranton</w:t>
            </w:r>
          </w:p>
        </w:tc>
        <w:tc>
          <w:tcPr>
            <w:tcBorders>
              <w:top w:color="cccccc" w:space="0" w:sz="7" w:val="single"/>
              <w:left w:color="cccccc" w:space="0" w:sz="7" w:val="single"/>
              <w:bottom w:color="000000" w:space="0" w:sz="7" w:val="single"/>
              <w:right w:color="000000" w:space="0" w:sz="7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34"/>
                <w:szCs w:val="34"/>
              </w:rPr>
            </w:pPr>
            <w:r w:rsidDel="00000000" w:rsidR="00000000" w:rsidRPr="00000000">
              <w:rPr>
                <w:rFonts w:ascii="Arial" w:cs="Arial" w:eastAsia="Arial" w:hAnsi="Arial"/>
                <w:sz w:val="34"/>
                <w:szCs w:val="34"/>
                <w:rtl w:val="0"/>
              </w:rPr>
              <w:t xml:space="preserve">299</w:t>
            </w:r>
          </w:p>
        </w:tc>
      </w:tr>
    </w:tbl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* USCAA Director's Cup points are awarded for the number of sports offerings, attendance at the 2023 USCAA National Convention, and results from 2023-2024 USCAA National Championship events *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VPYm2IxseOyYEgsDW+2Wx98QFQ==">CgMxLjA4AHIhMXVxUnplZWlCQS1uaEwzVjJ5ZURnZi14VUpXcDl6LXdn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